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249" w:leader="none"/>
        </w:tabs>
        <w:jc w:val="right"/>
        <w:rPr/>
      </w:pPr>
      <w:r>
        <w:rPr/>
        <w:t xml:space="preserve">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bCs/>
          <w:caps/>
          <w:color w:val="000000"/>
        </w:rPr>
      </w:pPr>
      <w:r>
        <w:rPr>
          <w:b/>
          <w:bCs/>
          <w:caps/>
          <w:color w:val="000000"/>
        </w:rPr>
      </w:r>
    </w:p>
    <w:p>
      <w:pPr>
        <w:pStyle w:val="Normal"/>
        <w:jc w:val="center"/>
        <w:rPr>
          <w:b/>
          <w:b/>
          <w:bCs/>
          <w:caps/>
          <w:color w:val="000000"/>
        </w:rPr>
      </w:pPr>
      <w:r>
        <w:rPr>
          <w:b/>
          <w:bCs/>
          <w:caps/>
          <w:color w:val="000000"/>
        </w:rPr>
        <w:t>ТЕХНИЧЕСКОЕ ЗАДАНИЕ</w:t>
      </w:r>
    </w:p>
    <w:p>
      <w:pPr>
        <w:pStyle w:val="Normal"/>
        <w:jc w:val="center"/>
        <w:rPr/>
      </w:pPr>
      <w:r>
        <w:rPr/>
        <w:t>на выполнение инженерных изысканий и  проектно-сметной документации по объекту:</w:t>
      </w:r>
    </w:p>
    <w:p>
      <w:pPr>
        <w:pStyle w:val="Normal"/>
        <w:jc w:val="center"/>
        <w:rPr/>
      </w:pPr>
      <w:r>
        <w:rPr/>
        <w:t xml:space="preserve"> </w:t>
      </w:r>
      <w:r>
        <w:rPr/>
        <w:t>«</w:t>
      </w:r>
      <w:r>
        <w:rPr>
          <w:b/>
          <w:bCs/>
        </w:rPr>
        <w:t>Реконструкция водозабора 7Ц в г.Салаире</w:t>
      </w:r>
      <w:r>
        <w:rPr/>
        <w:t>»</w:t>
      </w:r>
    </w:p>
    <w:p>
      <w:pPr>
        <w:pStyle w:val="Normal"/>
        <w:jc w:val="center"/>
        <w:rPr/>
      </w:pPr>
      <w:r>
        <w:rPr/>
      </w:r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3"/>
        <w:gridCol w:w="2707"/>
        <w:gridCol w:w="7088"/>
      </w:tblGrid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Перечень  основных  требований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Содержание  требований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20" w:hRule="atLeast"/>
        </w:trPr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1. ОСНОВНЫЕ  ТРЕБОВАНИЯ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 xml:space="preserve">Район, пункт строительства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Кемеровская область, Гурьевский район, Салаирское городское поселение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Заказчик, местоположение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rStyle w:val="FontStyle12"/>
              </w:rPr>
              <w:t>Муниципальное казенное учреждение «ОКС администрации Гурьевского муниципального района»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/>
              <w:t xml:space="preserve"> </w:t>
            </w:r>
            <w:r>
              <w:rPr/>
              <w:t>«</w:t>
            </w:r>
            <w:r>
              <w:rPr>
                <w:bCs/>
              </w:rPr>
              <w:t>Реконструкция водозабора 7Ц в г.Салаире</w:t>
            </w:r>
            <w:r>
              <w:rPr/>
              <w:t>»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Стоимость работ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Определяется по результатам торгов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 xml:space="preserve">Генеральный проектировщик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(проектная организация)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Определяется по результатам торгов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Реконструкция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Начало строительства 2019 г.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 xml:space="preserve">Место  строительства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Кемеровская область, Гурьевский район, г. Салаир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Цели проекта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Стадийность  проектирования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Двухстадийное: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1. Проектная документация (П)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2. Рабочая документация. (Р)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Стадийность проведения изысканий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Одностадийное: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Технический отчет по инженерно-геологическим, геодезическим и экологическим изысканиям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  <w:u w:val="single"/>
              </w:rPr>
              <w:t>114 дней</w:t>
            </w:r>
            <w:r>
              <w:rPr>
                <w:rFonts w:ascii="Times New Roman" w:hAnsi="Times New Roman"/>
              </w:rPr>
              <w:t xml:space="preserve"> со дня заключения контракта, в т.ч.: 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этап – 5 дней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этап – 10 дней.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3-й этап – </w:t>
            </w:r>
            <w:r>
              <w:rPr>
                <w:rFonts w:ascii="Times New Roman" w:hAnsi="Times New Roman"/>
                <w:u w:val="single"/>
              </w:rPr>
              <w:t>74 дня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этап – 20 дней.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5-й этап – 5 дней.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Этапы выполнения работ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1-й этап. Предпроектная подготовка: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предварительный расчет параметров водоснабжения, водоотведения, электроснабжения, теплоснабжения, телефонизации, радиофикации для получения технических условий.</w:t>
            </w:r>
          </w:p>
          <w:p>
            <w:pPr>
              <w:pStyle w:val="NoSpacing"/>
              <w:ind w:left="34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- выезд на площадку предусмотренную для строительства объекта для обследование и обмерных работ на насосной станции, хлораторной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павильонов скважин водозабора.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предварительное определение типа основания и фундаментов, сбор нагрузок на фундаменты, подготовка технического задания на выполнение геологических и геодезических изысканий.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предварительное согласование объемно-планировочных решений по объекту с Заказчиком.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2-й этап. Инженерно-геологические, Инженерно-экологические и Инженерно -геодезические изыскания.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согласование технического задания (программы) на проведение изысканий с Заказчиком 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инженерно-геологических изысканий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3-й этап. Подготовка проектной документации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разработка разделов проектной документации указанных в пункте 1.14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согласование проектных решений  и устранение выявленных замечаний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проекта для прохождения государственной экспертизы проектной документации и результатов инженерных изысканий.  подача проектной документации и результатов инженерных изысканий от лица Заказчика в Государственную экспертизу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устранение замечаний Государственной экспертизы (в случае их наличия) в установленные сроки.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положительного заключения Государственной экспертизы проектной документации и результатов инженерных изысканий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4-й этап. Разработка рабочей документации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Разработка рабочей документации.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5-й этап. Подготовка сметной документации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сметной документации.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Состав  разрабатываемой  проектно-сметной документации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Состав разрабатываемой  проектной и рабочей  документации определяется  постановлением  Правительства от 16 февраля 2008г  № 87  «О  составе  разделов  проектной  документации  и требованиях к их содержанию»,  в т.ч.</w:t>
            </w:r>
          </w:p>
          <w:p>
            <w:pPr>
              <w:pStyle w:val="Normal"/>
              <w:spacing w:before="0" w:after="0"/>
              <w:ind w:left="34" w:hanging="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состав проектной документации входят: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1 Пояснительная записка (ПЗ)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2 "Схема организации планировки земельного участка" (ПЗУ)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3 "Архитектурные решения" (АР)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4 "Конструктивные и объемно-планировочные решения" (КР)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(ИОС)  должен состоять из следующих подразделов: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5.1) подраздел "Система электроснабжения"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5.2) подраздел "Система водоснабжения"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5.3) подраздел "Система водоотведения"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5.4) подраздел "Отопление, вентиляция и кондиционирование воздуха, тепловые сети"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5.5) подраздел "Сети связи"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5.7) подраздел "Технологические решения"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6 "Проект организации строительства" (ПОС)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8 "Перечень мероприятий по охране окружающей среды" (ООС) с проектом санитарно-защитных зон источников водоснабжения.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9  " Мероприятия по обеспечению пожарной безопасности "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10,1 «Мероприятия по обеспечению соблюдения требований энергетической эффективности»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11 «Смета на строительство объектов капитального строительства»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«Энергетический паспорт объекта»</w:t>
            </w:r>
          </w:p>
          <w:p>
            <w:pPr>
              <w:pStyle w:val="Normal"/>
              <w:spacing w:before="0" w:after="0"/>
              <w:ind w:left="34" w:hanging="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состав рабочей документации входят: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1 "Генеральный план" (ГП)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2 "Архитектурные решения" (АР)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3.1 "Конструкции железобетонные" (КЖ)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3.2"Конструкции металлические" (КМ)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4.1 "Водоснабжение и канализация" (ВК)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4.2 "Отопление, вентиляция и кондиционирование" (ОВ)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4.3 "Силовое электрооборудование" (ЭМ)+АТМ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4.4 "Электрическое освещение" (ЭО)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4.5 "Пожаротушение" (ПТ)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4.6 "Охранная и охранно-пожарная сигнализация" (ОС)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5.1 "Наружные сети водоснабжения и канализации" (НВК)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5.2 "Электроснабжение" (ЭС)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5.7 "Технологические решения"</w:t>
            </w:r>
          </w:p>
          <w:p>
            <w:pPr>
              <w:pStyle w:val="Normal"/>
              <w:spacing w:before="0" w:after="0"/>
              <w:ind w:left="34" w:hanging="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состав  сметной документации: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1 "Сводный сметный расчет"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Раздел 2 "Объектные, локальные сметы"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Состав отчета по инженерно-геологическим изысканиям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Технический отчет о геологических изысканиях должен содержать следующие разделы: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1. Геологическое строение: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Количество, глубина пробуренных скважин для отбора проб грунта и грунтовой воды с целью последующего определения их физических и химических свойств.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Перечень выделенных напластований грунтов, называемых инженерно-геологическими элементами. Описания должны включать: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наименование инженерно-геологических элементов (вид грунта, цвет, степень влагонасыщения и т.п.)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порядковый номер инженерно-геологических элементов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геологический индекс инженерно-геологических элементов (по специальной классификации)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отметки верха и подошвы инженерно-геологических элементов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мощность инженерно-геологических элементов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 xml:space="preserve">- описание всевозможных включений в инженерно-геологические элементы (небольшие линзы другого грунта, валуны, мусор и т.п.). 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2. Гидрогеологические условия: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Период года, в который проводились изыскания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Наличие и глубина залегания грунтовых вод на участке, указание грунтов, к которым эти грунтовые воды приурочены.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Амплитуда и динамика сезонных колебаний грунтовых вод на участке по архивным данным гидрометеорологических наблюдений и аналитическим соображениям, исходя из гидрографического положения участка на местности.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Степень агрессивности грунтовых вод к бетонным и железобетонным конструкциям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Степень коррозионной активности грунтовых вод по отношению к различным материалам (п. 3.1. настоящего технического задания.), применяемым при устройстве различных инженерных коммуникаций (кабели, трубопроводы, заземлители и т.п.).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 xml:space="preserve">3. Физические свойства грунтов. 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Физические свойства инженерно-геологических элементов, как правило, представляются в табличной форме (для различных ситуаций свой набор лабораторных испытаний):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результаты гранулометрического анализа песчаных грунтов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плотность твердых частиц грунта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плотность грунта ненарушенной структуры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плотность грунта в сухом состоянии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коэффициент пористости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естественная влажность грунта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влажность глинистого грунта на границе текучести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влажность глинистого грунта на границе раскатывания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число пластичности глинистого грунта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показатель консистенции глинистого грунта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степень влажности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содержание органических веществ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могут содержаться и некоторые другие свойства.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4. Геологические и инженерно-геологические процессы.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Нормативная глубина сезонного промерзания песчаных и глинистых грунтов составляющих инженерно-геологических элементы и залегающих у поверхности земли.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Данные о степени пучения глинистых грунтов.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Возможность подтопления, образования оползней, просадок, усадок и набуханий грунтов.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Данные о других возможных инженерно-геологических явлениях.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5. Выводы и рекомендации. Обязательный раздел, в котором обобщаются данные всех разделов Отчета об инженерно-геологических изысканиях и приводятся рекомендации по проектированию и строительству, такие как: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Рекомендации по назначению глубины заложения подошвы фундаментов на естественном основании или глубине свай при свайных фундаментах.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Рекомендации по гидроизоляции и защите конструкций здания от подтопления, промораживания, замачивания, коррозии и от других неблагоприятных геологических процессов.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6. Иллюстративный материал. Обязательная часть, наиболее наглядная, включающая: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Топографический план участка строительства с указанием: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горизонталей рельефа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существующих зданий, сооружений, ограждений, дорог, зеленых насаждений и прочих характерных объектов на местности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места геологических выработок (скважин) с указанием их номера и абсолютной отметки устья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направления юг-север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линий геолого-литологических разрезов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Колонки геологических выработок (скважин), построенные в вертикальном масштабе с нанесением на них: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выявленных инженерно-геологических элементов, с четким соблюдением последовательности их залегания и масштаба при указании их мощности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номеров инженерно-геологических элементов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геологических индексов инженерно-геологических элементов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уровня грунтовых вод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вертикальной шкалы для определения глубины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отметки устья геологической выработки.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Геолого-литологические разрезы, получаемые путем объединения соседних колонок геологических выработок (скважин) для получения полной картины напластования инженерно-геологических элементов на всем участке. Объединение проводится по определенным правилам с соблюдением вертикального и горизонтального масштаба, с нанесением на разрезы: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номеров инженерно-геологических элементов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геологических индексов инженерно-геологических элементов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уровня грунтовых вод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вертикальной шкалы для определения глубины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отметки устья геологической выработки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- расстояния между соседними геологическими выработками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sz w:val="22"/>
                <w:szCs w:val="22"/>
              </w:rPr>
              <w:t>Для придания колонкам и разрезам большей наглядности различные инженерно-геологических элементы по-разному заштриховывают, а также расшифровывают принятые условные графические обозначения.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Общие  положения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Разработка проектной и рабочей документации осуществляется в соответствии с требованиями  Градостроительного  кодекса РФ, </w:t>
            </w:r>
            <w:r>
              <w:rPr>
                <w:color w:val="FF0000"/>
                <w:sz w:val="22"/>
                <w:szCs w:val="22"/>
              </w:rPr>
              <w:t>ГОСТ</w:t>
            </w:r>
          </w:p>
          <w:p>
            <w:pPr>
              <w:pStyle w:val="Normal"/>
              <w:spacing w:before="0" w:after="0"/>
              <w:ind w:left="34" w:hanging="0"/>
              <w:rPr/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Р  21.1101-2009 </w:t>
            </w:r>
            <w:r>
              <w:rPr>
                <w:sz w:val="22"/>
                <w:szCs w:val="22"/>
              </w:rPr>
              <w:t>«Система  проектной документации  для  строительства. Основные  требования  к  проектной и рабочей  документации», постановления  Правительства от 16 февраля 2008г  № 87</w:t>
            </w:r>
            <w:r>
              <w:rPr>
                <w:b/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 составе разделов проектной документации требованиях к их содержанию» и другими  действующими нормами и требованиями на территории  РФ.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Основные требования к выполнению работ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Требования к количественным характеристикам (объему) работ: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2"/>
              </w:rPr>
              <w:t>Работы должны выполняться в объеме настоящего Технического задания на выполнение проектно-изыскательских работ по объекту: ««Реконструкция водозабора 7Ц в г. Салаире»», в соответствии со Сметой, являющейся неотъемлемой частью настоящего технического задания (Приложение № 1).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Требования к качеству и безопасности работ: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Работы должны быть выполнены в соответствии с: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ГОСТ 21.101-97</w:t>
            </w:r>
            <w:r>
              <w:rPr>
                <w:rFonts w:ascii="Times New Roman" w:hAnsi="Times New Roman"/>
              </w:rPr>
              <w:t>. СПДС. Основные требования к проектной и рабочей документации.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ГОСТ 21.114-2013.</w:t>
            </w:r>
            <w:r>
              <w:rPr>
                <w:rFonts w:ascii="Times New Roman" w:hAnsi="Times New Roman"/>
              </w:rPr>
              <w:t xml:space="preserve"> СПДС. Правила выполнения эскизных чертежей общих видов нетиповых изделий.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ГОСТ 21.501-2011</w:t>
            </w:r>
            <w:r>
              <w:rPr>
                <w:rFonts w:ascii="Times New Roman" w:hAnsi="Times New Roman"/>
              </w:rPr>
              <w:t>. СПДС. Правила выполнения архитектурно-строительных чертежей.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10-01-94. Система нормативных документов в строительстве. Основные положения.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11-01-95. Инструкция о порядке разработки, согласования, утверждения и составе проектной документации на строительство предприятий, зданий и сооружений.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81-01-94. Свод правил по определению стоимости строительства в составе предпроектной и проектно-сметной документации.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b/>
              </w:rPr>
              <w:t>Требования к сметной документации: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Сметные документации разработать согласно действующим требованиям к ее составу и оформлению. Сметные документации представить в базовых ценах, текущих ценах и прогнозируемых ценах на четвертый квартал 2018 г.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>Для определения затрат, р</w:t>
            </w:r>
            <w:r>
              <w:rPr>
                <w:rFonts w:ascii="Times New Roman" w:hAnsi="Times New Roman"/>
              </w:rPr>
              <w:t>азработать локальные сметы в территориальной сметно-нормативной базе в редакции 2014г.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false"/>
              </w:rPr>
              <w:t xml:space="preserve">Комплектность проектной, рабочей и сметной документации должна соответствовать требованиям постановления Правительства РФ от 16.02.2008 г. № 87, </w:t>
            </w:r>
            <w:r>
              <w:rPr>
                <w:rFonts w:ascii="Times New Roman" w:hAnsi="Times New Roman"/>
              </w:rPr>
              <w:t xml:space="preserve">№73 от 15 февраля 2011 года. 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Проектной документацией обеспечить соблюдение требований Федерального закона «Технический регламент о безопасности зданий и сооружений» N 384-ФЗ от 30 декабря 2009 года.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вести с соблюдением Федерального закона от 27.12.2002г. №184-ФЗ «О техническом регулировании», Федерального закона от 30.12.2009 г. № 384-ФЗ «Технический регламент «О безопасности зданий и сооружений», Федерального закона от 30.03.1999 г. № 52-ФЗ «О санитарно-эпидемиологическом благополучии населения»,  с учетом СНиП 21-01-97 «Пожарная безопасность зданий и сооружений», СНиП 31-06-2008 «Общественные здания и сооружения». </w:t>
            </w:r>
          </w:p>
          <w:p>
            <w:pPr>
              <w:pStyle w:val="NoSpacing"/>
              <w:ind w:left="34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</w:rPr>
              <w:t xml:space="preserve">Проектной документацией обеспечить  соблюдение требований СП 132.13330.2011  «Обеспечение антитеррористической защищенности зданий и сооружений»,  </w:t>
            </w:r>
            <w:r>
              <w:rPr>
                <w:rStyle w:val="Strong"/>
                <w:rFonts w:ascii="Times New Roman" w:hAnsi="Times New Roman"/>
                <w:b w:val="false"/>
              </w:rPr>
              <w:t>постановления Правительства РФ от 16.02.2008 г. № 87, постановления Правительства РФ от 15.02.2011г №73.</w:t>
            </w:r>
          </w:p>
          <w:p>
            <w:pPr>
              <w:pStyle w:val="NoSpacing"/>
              <w:ind w:left="34" w:hanging="0"/>
              <w:jc w:val="both"/>
              <w:rPr>
                <w:rStyle w:val="Strong"/>
                <w:rFonts w:ascii="Times New Roman" w:hAnsi="Times New Roman"/>
                <w:b w:val="false"/>
                <w:b w:val="false"/>
              </w:rPr>
            </w:pPr>
            <w:r>
              <w:rPr>
                <w:rStyle w:val="Strong"/>
                <w:rFonts w:ascii="Times New Roman" w:hAnsi="Times New Roman"/>
              </w:rPr>
              <w:t>4. Требования к инженерно-геологическим изысканиям</w:t>
            </w:r>
            <w:r>
              <w:rPr>
                <w:rStyle w:val="Strong"/>
                <w:rFonts w:ascii="Times New Roman" w:hAnsi="Times New Roman"/>
                <w:b w:val="false"/>
              </w:rPr>
              <w:t>. Технический отчет, а также проведение самих изысканий должны соответствовать следующими нормативными актами:</w:t>
            </w:r>
          </w:p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color w:val="000000" w:themeColor="text1"/>
                <w:sz w:val="22"/>
                <w:szCs w:val="22"/>
              </w:rPr>
              <w:t>ГОСТ 25100-2011</w:t>
            </w:r>
            <w:r>
              <w:rPr>
                <w:sz w:val="22"/>
                <w:szCs w:val="22"/>
              </w:rPr>
              <w:t>. Грунты. Классификация</w:t>
            </w:r>
          </w:p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color w:val="000000" w:themeColor="text1"/>
                <w:sz w:val="22"/>
                <w:szCs w:val="22"/>
              </w:rPr>
              <w:t>ГОСТ 12071-2014</w:t>
            </w:r>
            <w:r>
              <w:rPr>
                <w:sz w:val="22"/>
                <w:szCs w:val="22"/>
              </w:rPr>
              <w:t>. Грунты. Отбор, упаковка, транспортирование и хранение образцов.</w:t>
            </w:r>
          </w:p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3. ГОСТ 12536-2014. Грунты. Методы лабораторного определения гранулометрического (зернового) и микроагрегатного состава</w:t>
            </w:r>
          </w:p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4. ГОСТ 20522-2012. Грунты. Методы статистической обработки результатов испытаний.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ГОСТ 21.302-2013. Система проектной документации для строительства. Условные графические обозначения в документации по инженерно-геологическим изысканиям.</w:t>
            </w:r>
          </w:p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 xml:space="preserve">8. СНиП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-02-96. Инженерные изыскания для строительства. Основные положения.</w:t>
            </w:r>
          </w:p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9. СП 22.13330.2011. Основания зданий и сооружений.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СП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-105-97. Инженерно-геологические изыскания для строительства.</w:t>
            </w:r>
            <w:r>
              <w:rPr>
                <w:rStyle w:val="Strong"/>
                <w:rFonts w:ascii="Times New Roman" w:hAnsi="Times New Roman"/>
                <w:b w:val="false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</w:rPr>
              <w:t xml:space="preserve">  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Условия выполнения работ (условия проектирования)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sz w:val="22"/>
                <w:szCs w:val="22"/>
              </w:rPr>
              <w:t>1. Выполнить проектно-изыскательские работы по объекту: ««Реконструкция водозабора 7Ц в г. Салаире»», в соответствии СНиП, ГОСТ, ТСН, экологических, санитарно-гигиенических, противопожарных и других норм, действующих на территории Российской Федерации.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Конструктивные и архитектурные решения – определить проектом, согласовать с Заказчиком.</w:t>
            </w:r>
          </w:p>
          <w:p>
            <w:pPr>
              <w:pStyle w:val="NoSpacing"/>
              <w:ind w:left="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Разработать локальные сметы в территориальной сметно-нормативной базе в редакции 2014г. </w:t>
            </w:r>
          </w:p>
        </w:tc>
      </w:tr>
      <w:tr>
        <w:trPr>
          <w:trHeight w:val="20" w:hRule="atLeast"/>
        </w:trPr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22"/>
                <w:szCs w:val="22"/>
              </w:rPr>
              <w:t>2. ОСНОВНЫЕ  ХАРАКТЕРИСТИКИ И ТРЕБОВАНИЯ К ОБЪЕКТУ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Категория сложности объекта (класс ответственности сооружения по ГОСТ 27751-88)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 xml:space="preserve">Категория сложности объект – </w:t>
            </w:r>
            <w:r>
              <w:rPr>
                <w:sz w:val="22"/>
                <w:szCs w:val="22"/>
                <w:lang w:val="en-US"/>
              </w:rPr>
              <w:t>II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Градостроительные решения, генплан, благоустройство, озеленение,  обеспеченность автостоянками.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Пешеходные дорожки должны иметь асфальтовое покрытие;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Вся прилегающая территория засеивается газонной травой;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Требования к технологическому и инженерному оборудованию, инженерное обеспечение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1.  Обеспечить запас очищенной воды в утепленных резервуарах согласно расчета.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2.  Предусмотреть установку обратных клапанов на линиях подачи.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3. Рассчитать зоны санитарной охраны водозаборных сооружений.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4. Предусмотреть совмещение инженерных систем с существующими блоками зданий.</w:t>
            </w:r>
          </w:p>
          <w:p>
            <w:pPr>
              <w:pStyle w:val="Normal"/>
              <w:widowControl/>
              <w:bidi w:val="0"/>
              <w:spacing w:before="0" w:after="60"/>
              <w:jc w:val="both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Архитектурно-планировочные решения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 В проекте предусмотреть качественную наружную отделку в соответствии с архитектурными решением и технологическими требованиями, согласовать с Заказчиком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 xml:space="preserve">Объемно-планировочные решения, перечень основных мероприятий.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1. Проведение обследования и оценки технического состояния существующих зданий, сооружений, инженерных систем, и ограждения.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2. Разработка проекта реконструкции водозабора на основании рекомендаций, по результатам обследования.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3. Проектом необходимо предусмотреть: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- Демонтаж существующего здания хлораторной с устройством нового здания модульного типа с внедрением системы установок обеззараживания Аквахлор.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- Демонтаж существующего здания насосной с устройством нового здания модульного типа (насосной и трансформаторной подстанции) в т.ч.  замена старого оборудования на новое.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4. Демонтаж существующих павильонов скважин и монтаж новых павильонов модульного типа с заменой насосного оборудования.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5. Устройство дополнительного приемного резервуара чистой воды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6. Устройство благоустройства (твердые покрытия) и озеленения территории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7. Устройство ограждения территории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 xml:space="preserve">Конструктивные решения, изделия и материалы несущих и ограждающих конструкций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Конструктивные решения принимаются на основании выполненных инженерно-геологических изысканий с учетом климатических характеристик района строительства, а также технико-экономического обоснования выбранных вариантов.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Выбранные конструктивные решения должны быть согласованы с Заказчиком. Предполагаемый тип конструктивной схемы здания – быстровозводимые металлические конструкции..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Фундаменты: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-  тип фундамента и глубина заложения определяется на основании отчета по инженерно-геологическим изысканиям;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Инженерные сети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Внутренние сети проектируются с учетом соблюдений нормативных документов.</w:t>
            </w:r>
          </w:p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Наружные инженерные сети запроектировать согласно действующим техническим условиям на присоединение выданные уполномоченными организациями в соответствии с нормами. (Стоимость проектирования наружных сетей от точки присоединения до объекта входит в стоимость контракта)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Пожарная и охранная сигнализация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Автоматическая, с применением отечественного сертифицированного оборудования. Предусмотреть систему внутреннего и наружного видеонаблюдения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 xml:space="preserve">Исходные  данные,  предоставляемые  Заказчиком  для  проектирования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Для разработки проектно-сметной документации, Заказчик предоставляет необходимый комплект исходно-разрешительной документации по этапам согласно п 1.14 настоящего технического задания: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2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Ситуационный план (1-й этап)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2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Градостроительный план земельного участка (2-й этап)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2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Действующие технические условия на водоснабжение (2-й этап)*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2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Действующие технические условия на электроснабжение (2-й этап)*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2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Действующие технические условия на теплоснабжение (2-й этап)*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2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Действующие технические условия на сете телекоммуникаций (радио, телефон, интернет, и д.р.) (2-й этап)*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2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план земельного участка. (2-й этап)*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2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на право пользования земельным участком (2-й этап)</w:t>
            </w:r>
          </w:p>
          <w:p>
            <w:pPr>
              <w:pStyle w:val="NoSpacing"/>
              <w:tabs>
                <w:tab w:val="left" w:pos="28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отсутствие указанного документа не является основание для  приостановления разработки проектных решений.</w:t>
            </w:r>
          </w:p>
        </w:tc>
      </w:tr>
      <w:tr>
        <w:trPr>
          <w:trHeight w:val="20" w:hRule="atLeast"/>
        </w:trPr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4" w:hanging="0"/>
              <w:jc w:val="center"/>
              <w:rPr>
                <w:rFonts w:ascii="Times New Roman" w:hAnsi="Times New Roman"/>
                <w:b/>
                <w:b/>
                <w:spacing w:val="5"/>
              </w:rPr>
            </w:pPr>
            <w:r>
              <w:rPr>
                <w:rFonts w:ascii="Times New Roman" w:hAnsi="Times New Roman"/>
                <w:b/>
                <w:spacing w:val="5"/>
              </w:rPr>
              <w:t>3. ТРЕБОВАНИЯ К ПРЕДОСТАВЛЯЕМОЙ ЗАКАЗЧИКОМ РАБОТЕ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 xml:space="preserve">Количество экземпляров проектно-сметной документации (проекта), выдаваемых </w:t>
            </w:r>
            <w:r>
              <w:rPr>
                <w:spacing w:val="2"/>
                <w:sz w:val="22"/>
                <w:szCs w:val="22"/>
              </w:rPr>
              <w:t>заказчику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4" w:hanging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5"/>
              </w:rPr>
              <w:t xml:space="preserve">При завершении работ проектная организация </w:t>
            </w:r>
            <w:r>
              <w:rPr>
                <w:rFonts w:ascii="Times New Roman" w:hAnsi="Times New Roman"/>
              </w:rPr>
              <w:t xml:space="preserve">предоставляет Заказчику акт сдачи-приемки работ с </w:t>
            </w:r>
            <w:r>
              <w:rPr>
                <w:rFonts w:ascii="Times New Roman" w:hAnsi="Times New Roman"/>
                <w:spacing w:val="4"/>
              </w:rPr>
              <w:t xml:space="preserve">приложением к нему проектно-сметной документации на бумажном носителе </w:t>
            </w:r>
            <w:r>
              <w:rPr>
                <w:rFonts w:ascii="Times New Roman" w:hAnsi="Times New Roman"/>
              </w:rPr>
              <w:t>(в виде сброшюрованных книг формата А3-А4)</w:t>
            </w:r>
            <w:r>
              <w:rPr>
                <w:rFonts w:ascii="Times New Roman" w:hAnsi="Times New Roman"/>
                <w:spacing w:val="4"/>
              </w:rPr>
              <w:t>: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-  стадия «П» - 4 экз;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-  стадия «РД» - 4 экз;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- Отчет по инженерным изысканиям – 2 экз.;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</w:rPr>
              <w:t xml:space="preserve">- сметная документация выдается в электронном виде (в формате .ARPC или ином совместимым с программой </w:t>
            </w:r>
            <w:r>
              <w:rPr>
                <w:rFonts w:ascii="Times New Roman" w:hAnsi="Times New Roman"/>
                <w:spacing w:val="4"/>
                <w:lang w:val="en-US"/>
              </w:rPr>
              <w:t>WIN</w:t>
            </w:r>
            <w:r>
              <w:rPr>
                <w:rFonts w:ascii="Times New Roman" w:hAnsi="Times New Roman"/>
                <w:spacing w:val="4"/>
              </w:rPr>
              <w:t>-РИК) и на бумажном носителе – 3 экз.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- проектная и рабочая документация предоставляется в электронном виде в формате .</w:t>
            </w:r>
            <w:r>
              <w:rPr>
                <w:rFonts w:ascii="Times New Roman" w:hAnsi="Times New Roman"/>
                <w:spacing w:val="4"/>
                <w:lang w:val="en-US"/>
              </w:rPr>
              <w:t>PDF</w:t>
            </w:r>
            <w:r>
              <w:rPr>
                <w:rFonts w:ascii="Times New Roman" w:hAnsi="Times New Roman"/>
                <w:spacing w:val="4"/>
              </w:rPr>
              <w:t xml:space="preserve"> в полном комплекте.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 xml:space="preserve">Согласование  документации 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1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 xml:space="preserve">Для выполнения работ проектная организация совместно с Заказчиком получает все разрешения и согласования, необходимые для выдачи заключительной документации. </w:t>
            </w:r>
          </w:p>
          <w:p>
            <w:pPr>
              <w:pStyle w:val="Style21"/>
              <w:spacing w:before="0" w:after="0"/>
              <w:ind w:left="34" w:hanging="0"/>
              <w:jc w:val="left"/>
              <w:rPr/>
            </w:pPr>
            <w:r>
              <w:rPr>
                <w:sz w:val="22"/>
                <w:szCs w:val="22"/>
              </w:rPr>
              <w:t>Проектная организация по требованию Заказчика представляет обоснование принятых проектных решений.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Особые условия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момента подачи проектной документации в органы проведения государственной экспертизы проектной документации, Проектировщик совместно с Заказчиком устраняет неточности и расхождения выявленные в настоящем техническом задание в ходе проектирования.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Передачи проектно-сметной документации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Проектно-сметная документация разрабатывается поэтапно.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окончания 1-го этапа Проектировщик должен предоставить Заказчику: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Расчет показателей по водоснабжению, водоотведению, теплоснабжению, энергоснабжению, отчет по обследованию конструкций;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Эскизы объемно-планировочных решений.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окончания 2-го этапа Проектировщик должен предоставить Заказчику: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отчет по инженерным изысканиям.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окончания 3-го этапа Проектировщик должен предоставить Заказчику: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-Комплект проектной документации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 окончания 4-го этапа Проектировщик должен предоставить Заказчику: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 рабочей документации;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окончания 5-го этапа Проектировщик должен предоставить Заказчику:</w:t>
            </w:r>
          </w:p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 сметной документации.</w:t>
            </w:r>
          </w:p>
        </w:tc>
      </w:tr>
      <w:tr>
        <w:trPr>
          <w:trHeight w:val="20" w:hRule="atLeast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по сроку гарантий качества на результаты работ   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1.Исполнитель работ несет полную материальную ответственность за ненадлежащее качество выполненных  проектно-сметных работ, включая недостатки, обнаруженные в ходе строительства и эксплуатации объекта.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284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4f04"/>
    <w:pPr>
      <w:widowControl/>
      <w:bidi w:val="0"/>
      <w:spacing w:before="0" w:after="6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uiPriority w:val="99"/>
    <w:qFormat/>
    <w:locked/>
    <w:rsid w:val="00cf4f04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f4f04"/>
    <w:rPr>
      <w:rFonts w:cs="Times New Roman"/>
      <w:b/>
      <w:bCs/>
    </w:rPr>
  </w:style>
  <w:style w:type="character" w:styleId="FontStyle12" w:customStyle="1">
    <w:name w:val="Font Style12"/>
    <w:basedOn w:val="DefaultParagraphFont"/>
    <w:uiPriority w:val="99"/>
    <w:qFormat/>
    <w:rsid w:val="00cf4f04"/>
    <w:rPr>
      <w:rFonts w:ascii="Times New Roman" w:hAnsi="Times New Roman" w:cs="Times New Roman"/>
      <w:sz w:val="22"/>
      <w:szCs w:val="22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locked/>
    <w:rsid w:val="00821df1"/>
    <w:rPr>
      <w:rFonts w:ascii="Times New Roman" w:hAnsi="Times New Roman" w:cs="Times New Roman"/>
      <w:sz w:val="16"/>
      <w:szCs w:val="16"/>
      <w:lang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locked/>
    <w:rsid w:val="006f52ba"/>
    <w:rPr>
      <w:rFonts w:ascii="Tahoma" w:hAnsi="Tahoma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link w:val="a4"/>
    <w:uiPriority w:val="99"/>
    <w:rsid w:val="00cf4f04"/>
    <w:pPr>
      <w:spacing w:before="0" w:after="120"/>
      <w:ind w:left="283" w:hanging="0"/>
    </w:pPr>
    <w:rPr/>
  </w:style>
  <w:style w:type="paragraph" w:styleId="NoSpacing">
    <w:name w:val="No Spacing"/>
    <w:uiPriority w:val="99"/>
    <w:qFormat/>
    <w:rsid w:val="00cf4f04"/>
    <w:pPr>
      <w:widowControl/>
      <w:bidi w:val="0"/>
      <w:jc w:val="left"/>
    </w:pPr>
    <w:rPr>
      <w:rFonts w:eastAsia="Times New Roman" w:ascii="Calibri" w:hAnsi="Calibri" w:cs="Times New Roman"/>
      <w:color w:val="auto"/>
      <w:sz w:val="24"/>
      <w:szCs w:val="22"/>
      <w:lang w:val="ru-RU" w:eastAsia="ru-RU" w:bidi="ar-SA"/>
    </w:rPr>
  </w:style>
  <w:style w:type="paragraph" w:styleId="FORMATTEXT" w:customStyle="1">
    <w:name w:val=".FORMATTEXT"/>
    <w:uiPriority w:val="99"/>
    <w:qFormat/>
    <w:rsid w:val="00cf4f04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Style71" w:customStyle="1">
    <w:name w:val="Style7"/>
    <w:basedOn w:val="Normal"/>
    <w:uiPriority w:val="99"/>
    <w:qFormat/>
    <w:rsid w:val="00cf4f04"/>
    <w:pPr>
      <w:widowControl w:val="false"/>
      <w:spacing w:lineRule="exact" w:line="312" w:before="0" w:after="0"/>
      <w:jc w:val="left"/>
    </w:pPr>
    <w:rPr/>
  </w:style>
  <w:style w:type="paragraph" w:styleId="Style41" w:customStyle="1">
    <w:name w:val="Style4"/>
    <w:basedOn w:val="Normal"/>
    <w:uiPriority w:val="99"/>
    <w:qFormat/>
    <w:rsid w:val="00682ebb"/>
    <w:pPr>
      <w:widowControl w:val="false"/>
      <w:spacing w:before="0" w:after="0"/>
      <w:jc w:val="left"/>
    </w:pPr>
    <w:rPr/>
  </w:style>
  <w:style w:type="paragraph" w:styleId="Style22" w:customStyle="1">
    <w:name w:val="Style2"/>
    <w:basedOn w:val="Normal"/>
    <w:uiPriority w:val="99"/>
    <w:qFormat/>
    <w:rsid w:val="00d97714"/>
    <w:pPr>
      <w:widowControl w:val="false"/>
      <w:spacing w:lineRule="exact" w:line="283" w:before="0" w:after="0"/>
      <w:jc w:val="left"/>
    </w:pPr>
    <w:rPr/>
  </w:style>
  <w:style w:type="paragraph" w:styleId="Style110" w:customStyle="1">
    <w:name w:val="Style1"/>
    <w:basedOn w:val="Normal"/>
    <w:uiPriority w:val="99"/>
    <w:qFormat/>
    <w:rsid w:val="006064ed"/>
    <w:pPr>
      <w:widowControl w:val="false"/>
      <w:spacing w:before="0" w:after="0"/>
      <w:jc w:val="left"/>
    </w:pPr>
    <w:rPr/>
  </w:style>
  <w:style w:type="paragraph" w:styleId="BodyTextIndent3">
    <w:name w:val="Body Text Indent 3"/>
    <w:basedOn w:val="Normal"/>
    <w:link w:val="30"/>
    <w:uiPriority w:val="99"/>
    <w:semiHidden/>
    <w:qFormat/>
    <w:rsid w:val="00821df1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9"/>
    <w:uiPriority w:val="99"/>
    <w:semiHidden/>
    <w:qFormat/>
    <w:rsid w:val="006f52ba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821df1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LibreOffice/5.2.3.3$Windows_x86 LibreOffice_project/d54a8868f08a7b39642414cf2c8ef2f228f780cf</Application>
  <Pages>8</Pages>
  <Words>2354</Words>
  <Characters>17986</Characters>
  <CharactersWithSpaces>20253</CharactersWithSpaces>
  <Paragraphs>299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2016-11-09T06:42:00Z</dcterms:created>
  <dc:creator>IVAN</dc:creator>
  <dc:description/>
  <dc:language>ru-RU</dc:language>
  <cp:lastModifiedBy/>
  <cp:lastPrinted>2016-11-11T02:04:00Z</cp:lastPrinted>
  <dcterms:modified xsi:type="dcterms:W3CDTF">2019-02-18T09:07:36Z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