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-1074</wp:posOffset>
                </wp:positionH>
                <wp:positionV relativeFrom="paragraph">
                  <wp:posOffset>176637</wp:posOffset>
                </wp:positionV>
                <wp:extent cx="6449060" cy="2233930"/>
                <wp:effectExtent l="0" t="0" r="0" b="0"/>
                <wp:wrapTight wrapText="bothSides">
                  <wp:wrapPolygon edited="1">
                    <wp:start x="0" y="0"/>
                    <wp:lineTo x="0" y="21367"/>
                    <wp:lineTo x="21566" y="21367"/>
                    <wp:lineTo x="21566" y="0"/>
                    <wp:lineTo x="0" y="0"/>
                  </wp:wrapPolygon>
                </wp:wrapTight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49060" cy="223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0.1pt;mso-position-horizontal:absolute;mso-position-vertical-relative:text;margin-top:13.9pt;mso-position-vertical:absolute;width:507.8pt;height:175.9pt;" wrapcoords="0 0 0 98921 99843 98921 99843 0 0 0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Техническое задание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капитальный ремонт (замену) барабанов, трубной системы и проведение пусконаладочных, балансовых испытаний парового котла КЕ-10-14С №5 рег.№6828 зав. №2603</w:t>
      </w:r>
      <w:r/>
    </w:p>
    <w:p>
      <w:pPr>
        <w:jc w:val="both"/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816"/>
        <w:tblW w:w="0" w:type="auto"/>
        <w:tblLook w:val="01E0" w:firstRow="1" w:lastRow="1" w:firstColumn="1" w:lastColumn="1" w:noHBand="0" w:noVBand="0"/>
      </w:tblPr>
      <w:tblGrid>
        <w:gridCol w:w="567"/>
        <w:gridCol w:w="3794"/>
        <w:gridCol w:w="6011"/>
      </w:tblGrid>
      <w:tr>
        <w:trPr>
          <w:trHeight w:val="838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п/п</w:t>
            </w:r>
            <w:r/>
          </w:p>
        </w:tc>
        <w:tc>
          <w:tcPr>
            <w:tcW w:w="37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исходных данных и требований</w:t>
            </w:r>
            <w:r/>
          </w:p>
        </w:tc>
        <w:tc>
          <w:tcPr>
            <w:tcW w:w="6011" w:type="dxa"/>
            <w:textDirection w:val="lrTb"/>
            <w:noWrap w:val="false"/>
          </w:tcPr>
          <w:p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исходные данные и требования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бъект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пасный производственный объект: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котельная, регистрационный номер А68-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-0003,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 опасности,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-расположение - Кемеровская обл.,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Киселевск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Чумова, 2а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котла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.котёл паровой заводской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2603: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марка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котла КЕ 10-14 С;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топка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ТЛЗМ;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производитель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«Бийский котельный завод»;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выпуска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ввода в эксплуатацию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пар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насыщенный;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расчётное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давление 1,3 МПа;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паропроизводительность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тн/час.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регистрационный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номер-6828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 работ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котёл паровой заводской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2603: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демонтаж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обшивки и обмуровки (футеровки)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котла выполняется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силами подрядчика;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.1.1 Демонтаж верхнего и нижнего барабана котла выполняется силами подрядчика;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демонтаж трубной системы котла (кипятильные, экранные, опускные, перепускные трубы) котла выполняется силами подрядчик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.3. демонтаж чугунной перегородки, кронштейнов шлакоснимателя, фронтальных плит, балки острого дутья, труб возврата уноса, сопел возврата уноса и острого дутья выполняются силами подрядчика;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.4. монтаж балки острого дутья, труб возврата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уноса, сопел возврата уноса и острого дутья выполняются силами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Монтаж верхнего и нижнего барабана котла выполняется силами подрядчика;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монтаж трубной системы котла (кипятильные, экранные, опускные, перепускные трубы) выполняется силами подрядчика;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монтаж обшивки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обмуровки (футеровки) котла выполняется силами подрядчика;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.7. предварительное обследование существующей системы автоматики и приборов КИП;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пусконаладочные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балансовые испытания выполняются силами подрядчика;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сновные требования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работ должно соответствовать требованиям СНиП и иной нормативно-технической документации. Качество материалов, предостав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ляемых подрядчиком, используемых для выполнения работы, должно соответствовать требованиям, установленным в паспорте котла парового, ГОСТам, ТУ, сертификатам качества и подтверждаться техническими паспортами, сертификатами, иными документами изготовителя.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Трубы,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применяемые для ремонта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должны быть бесшовными.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сновные требования к подрядчику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Представить документы подтверждающие аттестацию сварочного производства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группы технических устройств: КО1 Паровые котлы с давлением пара более 0,07Мпа и водогрейные котлы с температурой воды выше 115°С; КО2 Трубопроводы пара и горячей воды с рабочим давлением пара более 0,07Мпа и температурой воды выше 115°С; КО5 Металлические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конструкции для котельного оборудования.), сварочного оборудования, сварщиков и специалистов сварочного производства в системе НАКС в соответствии с Федеральным законом «О промышленной безопасности опасных производственных объектов» от 21.07.97 №116-Ф3*.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силами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 с применением собственных инструментов и механизмов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материала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Подрядчика. Трубная продукция и продукция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металлопроката, монтируемая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котёл, должна быть новой.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   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рочие требования к подрядчику  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линейного графика выполнения работ. Подрядчик не менее чем за 2 дня обязан письменно уведомить Заказчика о сдаче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узлов, конструкций и скрытых работ для совместной приемки оборудования из ремонта.  При представлении Актов о приёмке выполненных работ Подрядчик обязан представить Заказчику полный комплект необходимой исполнительной документации на выполненные работы.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 подготовке актов приемки из ремонта составных частей основного оборудования и оборудования, входящего в установку, Подрядчик прилагает следующие документы: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выполненных плановых работ;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работ, выполненных сверх запланированных объемов;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невыполненных работ, предусмотренных согласованной ведомостью дефектов, и причины их невыполнения;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отраслевых предписаний, циркуляров и др., а также информационных сообщений заводов-изготовителей,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которые выполнены в процессе ремонта;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работ, выполненных с отклонениями от установленных требований, и причины отклонений.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процессе проведения ремонтных работ подрядной организацией ведется журнал сменных заданий и ремонтный журнал.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журнале сменных заданий должно отражаться следующее: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подробное описание задания, объем поручаемой работы;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численность бригады;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время, отведенное для выполнения задания;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время начала и окончания работ;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о получении и выполнении задания ответственным лицом Подрядчика (мастером, бригадиром);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отметка о проверке выполнения работ руководителям ремонта от Подрядчика. 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сменных заданий не реже чем один раз в неделю должен предоставляться для проверки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ответственным представителям Заказчика по направлениям, что подтверждается подписью в нем. Журнал сменных заданий является отчетным документом по ремонту оборудования и предъявляется приемосдаточной комиссии при расчетах (закрытии) за выполненные работы.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сменных заданий находится у подрядной организации и сдается Заказчику после окончания договорных обязательств.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ремонтном журнале должно отражаться следующее: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дата проведения работ;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-объем выполненных работ (пооперационно);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-номенклатура и количество использованных МТР;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Ф.И.О. мастера, подпись.</w:t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Ремонтный журнал должен предоставляться Заказчику по первому требованию. Ремонтный журнал находится у подрядной организации и сдается заказчику после окончания договорных обязательств.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ребования к проведению работ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выполняются согласно ведомости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ъемов работ (приложение №1), по наряду допуску и проекту производства работ (ППР), разработанными Подрядчиком и согласованным с Заказчиком,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начала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выполняются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оформляются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требованием Федеральных норм и правил в области промышленной безопасности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 промышленной безопасности опасных производственных объектов,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которых используется оборудование, работающее под избыточным давлением» и другими действующими нормативными документами.</w:t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Сметная документация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Сметную документацию разработать в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оответствии с «Методикой определения сметной стоимости строительства, реконструкции, капитального ремонта, сноса объектов капитально строительства, работ по сохранению объектов культурного населения, (памятников истории и культуры) народов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ации и на территории Российской Федерации», утвержденную приказом Министерства строительства и жилищно-коммунального хозяйства Российской Федерации от 04 августа 2020 г. № 421/пр с учетом изменений и дополнений на момент составления сметной документации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сметно-нормативной базе ФСНБ </w:t>
            </w:r>
            <w:r>
              <w:rPr>
                <w:rFonts w:ascii="Times New Roman" w:hAnsi="Times New Roman" w:cs="Times New Roman" w:eastAsia="SimSun"/>
                <w:sz w:val="24"/>
                <w:szCs w:val="24"/>
                <w:lang w:eastAsia="zh-CN"/>
              </w:rPr>
              <w:t xml:space="preserve">в редакции ФЕР 2020 (с Изм.1-9) с КСР по приказу № 969/пр от 17.11.2022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  <w:p>
            <w:pPr>
              <w:ind w:firstLine="462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Сметная документация должна быть составлена на базе программы «Гранд-смета» и передана Заказчику в 2-х экземплярах на бумажном носителе и 1 экземпляр в электронном виде в формате </w:t>
            </w:r>
            <w:r>
              <w:t xml:space="preserve">gsfx, </w:t>
            </w:r>
            <w:r>
              <w:rPr>
                <w:lang w:val="en-US"/>
              </w:rPr>
              <w:t xml:space="preserve">xlsx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xml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формате программы «Гранд-Смета» обязательно требуется привязка ресурсов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 расценкой.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материалов определяется по: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 (федеральному сборнику сметных цен);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каталогам (сборникам) текущих средних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строительные ресурсы региона строительства;</w:t>
            </w:r>
            <w:r/>
          </w:p>
          <w:p>
            <w:pPr>
              <w:ind w:firstLine="462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рыночной стоимости (прайс-листам, коммерческим предложениям), в случае отсутствия стоимости материалов в справочниках, либо существенном отклонении рыночной стоимости материалов от цен, указанных в справочниках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- конъюнктурный анализ). Результаты конъюнктурного анализа оформляются в соответствии с рекомендуемой формой, приведенной в Приложении N 1 к Методике, и подписываются заказчиком (в ред. Приказа Минстроя РФ </w:t>
            </w:r>
            <w:hyperlink r:id="rId10" w:tooltip="https://normativ.kontur.ru/document?moduleid=1&amp;documentid=431106#l55" w:anchor="l55" w:history="1">
              <w:r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от 07.07.2022 N 557/пр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оборудования определяется по рыночной стоимости на основании: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протоколов торгов (в случае их предоставления заказчиком);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коммерческих предложений, прайс-листов.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в сметную документацию материалов и оборудования по рыночной стоимости, к документации необходимо приложить копии прайс-листов, коммерческих предложений, счетов (не менее 3-х ценовых предложений на каждую позицию). Представленные подтверждающие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нты должны давать возможность идентифицировать поставщика и его реквизиты. При составлении смет использовать минимальную предложенную цену, при этом технические характеристики выбранных материалов и оборудования должны соответствовать техническому заданию.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Заготовительно-складские расходы к рыночной стоимости материалов и оборудования начисляются в следующем размере: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- 2% к стоимости строительных материалов, изделий, конструкций (за исключением металлоконструкций);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- 0,75% к стоимости металлоконструкций;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- 1,2% к стоимости оборудования.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к стоимости оборудования начисляются в размере 3% (в случае, если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включены в рыночную цену), либо рассчитываются по транспортной схеме с учетом сметных цен на перевозку.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к стоимости материалов по прайсам и пр. начисляются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4,6%, к стоимости материалов по ФССЦ учитываются дополнительно в случаях расстояния перевозки более 30км в соответствии с транспортной схемой доставки с учетом сметных цен на перевозку (либо путем применения установленного зонального коэффициента к ФССЦ).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к рыночной стоимости материалов рассчитываются по транспортной схеме с учетом сметных цен на перевозку (за исключением случаев, когда транспортные расходы включены в рыночную стоимость материалов).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в сметах материалов по рыночной стоимости, для определения базисной стоимости материалов применяется индекс перевода по элементу затрат "МАТЕРИАЛЫ".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Обратный перевод в текущую стоимость для материалов, стоимость которых определена по прайс-листам/коммерческим предложениям, должен осуществляться с тем же индексом, с которым был выполнен перевод в базовую стоимость.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накладных расходов принять по видам работ в соответствии с приказом Министерства строительства и жилищно-коммунального хозяйства Российской Федерации от 21 декабря 2020 г. N 812/пр.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сметной прибыли принять по видам работ в соответствии с приказом Министерства строительства и жилищно-коммунального хозяйства Российской Федерации от 11 декабря 2020 г. N 774/пр.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учитывающие условия производства работ и усложняющие факторы учитываются в соответствии с разработанной ведомостью объемов работ на основании ПОС, либо по данным, предоставленным Заказчиком.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ременные здания и сооружения, при необходимости, включить в размере 3,4 % от итога глав 1-7 Сводного сметного расчета, согласно ГСН 81-05-01-2001.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учитываются затраты на сооружение временных устройств, необходимых на период выполнения отдельных видов СМР только для конкретного объекта, в соответствии с ПОС (не включенные в сметные нормы) согласно п.1.7. ГСН 81-05-01-2001.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удорожание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325/пр от 25.05.2021г,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размере 6,3% с коэффициентом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к территории строительства от стоимости СМР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пусконаладочных работ включить в Сводный сметный расчет на основании разработанных программ ПНР, расчетов и локальных смет на ПНР.</w:t>
            </w:r>
            <w:r/>
          </w:p>
          <w:p>
            <w:pPr>
              <w:ind w:right="62" w:firstLine="462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закону от 03.08.2018 г. № 303-ФЗ “О внесении изменений в отдельные законодательные акты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налогах и сборах» в размере – 20%.</w:t>
            </w:r>
            <w:r/>
          </w:p>
          <w:p>
            <w:pPr>
              <w:ind w:left="0" w:right="0" w:firstLine="462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Смету выполнить в текущем уровне цен с учетом следующих показателей: 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среднемесячное количество рабочих часов 164,92 ч/мес,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уровень оплаты труда основных рабочих и механизаторов - 65650 руб,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накладные расходы – 70%,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сметная прибыль – 50%,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коэффициент к эксплуатации машин и механизмов – 10,3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погрузочно-разгрузочные работы – 12,05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стоимость основных материалов – 9,39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стоимость вспомогательных материалов – 5,79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стоимость оборудования – 7,13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изготовление арматурных каркасов без стоимости арматуры и металлопроката – 28 000,00 руб/т с НДС,</w:t>
            </w:r>
            <w:r>
              <w:rPr>
                <w:color w:val="auto"/>
              </w:rPr>
            </w:r>
            <w:r/>
          </w:p>
          <w:p>
            <w:pPr>
              <w:ind w:left="0" w:right="0" w:firstLine="37"/>
              <w:jc w:val="both"/>
              <w:spacing w:before="0" w:after="160" w:line="235" w:lineRule="atLeast"/>
              <w:rPr>
                <w:color w:val="auto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- изготовление металлоконструкций без учета стоимости металлопроката – 40 000,00 руб/т с НДС.</w:t>
            </w:r>
            <w:r>
              <w:rPr>
                <w:color w:val="auto"/>
              </w:rPr>
            </w:r>
            <w:r/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Отдельно стоимость нанесения огнезащитного покрытия (ОГЗ) на металлоконструкции, нестандартизированное оборудование за 1м2 без учета стоимости огнезащитного состава в зависимости от степени огнестойкости, при необходимости.</w:t>
            </w:r>
            <w:r>
              <w:rPr>
                <w:color w:val="auto"/>
              </w:rPr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W w:w="37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выполнения работ</w:t>
            </w:r>
            <w:r/>
          </w:p>
        </w:tc>
        <w:tc>
          <w:tcPr>
            <w:tcW w:w="60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календарных дней с момента заключения договора.</w:t>
            </w:r>
            <w:r/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r/>
      <w:r/>
    </w:p>
    <w:p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Генеральный директор</w:t>
      </w:r>
      <w:r/>
    </w:p>
    <w:p>
      <w:pPr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ООО «Шахта №12»                                                                                              А.В. Кацубин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540" w:right="850" w:bottom="360" w:left="9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character" w:styleId="664">
    <w:name w:val="Header Char"/>
    <w:basedOn w:val="813"/>
    <w:link w:val="820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pPr>
      <w:spacing w:after="200" w:line="276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17" w:customStyle="1">
    <w:name w:val="Основной текст + 9 pt"/>
    <w:basedOn w:val="813"/>
    <w:rPr>
      <w:rFonts w:ascii="Times New Roman" w:hAnsi="Times New Roman" w:cs="Times New Roman"/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styleId="818" w:customStyle="1">
    <w:name w:val="Абзац списка1"/>
    <w:basedOn w:val="812"/>
    <w:pPr>
      <w:ind w:left="720"/>
    </w:pPr>
  </w:style>
  <w:style w:type="character" w:styleId="819" w:customStyle="1">
    <w:name w:val="Верхний колонтитул Знак"/>
    <w:link w:val="820"/>
  </w:style>
  <w:style w:type="paragraph" w:styleId="820">
    <w:name w:val="Header"/>
    <w:basedOn w:val="812"/>
    <w:link w:val="81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cs="Times New Roman"/>
      <w:sz w:val="20"/>
      <w:szCs w:val="20"/>
    </w:rPr>
  </w:style>
  <w:style w:type="character" w:styleId="821" w:customStyle="1">
    <w:name w:val="Верхний колонтитул Знак1"/>
    <w:basedOn w:val="813"/>
    <w:rPr>
      <w:rFonts w:ascii="Calibri" w:hAnsi="Calibri" w:cs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normativ.kontur.ru/document?moduleid=1&amp;documentid=4311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>Организация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glaveng</dc:creator>
  <cp:lastModifiedBy>Зайцев С.А.</cp:lastModifiedBy>
  <cp:revision>19</cp:revision>
  <dcterms:created xsi:type="dcterms:W3CDTF">2023-04-05T01:33:00Z</dcterms:created>
  <dcterms:modified xsi:type="dcterms:W3CDTF">2024-04-05T09:18:21Z</dcterms:modified>
</cp:coreProperties>
</file>