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8" w:rsidRDefault="00F64A8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6484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88" w:rsidRDefault="00F84D88">
      <w:pPr>
        <w:pStyle w:val="afe"/>
        <w:rPr>
          <w:lang w:val="ru-RU"/>
        </w:rPr>
      </w:pPr>
    </w:p>
    <w:p w:rsidR="00F84D88" w:rsidRDefault="00F64A8F">
      <w:pPr>
        <w:pStyle w:val="afe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№____</w:t>
      </w:r>
    </w:p>
    <w:p w:rsidR="00F84D88" w:rsidRPr="00F64A8F" w:rsidRDefault="00F64A8F">
      <w:pPr>
        <w:pStyle w:val="afe"/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 №_____________ от «___» ________2024г.</w:t>
      </w:r>
    </w:p>
    <w:p w:rsidR="00F84D88" w:rsidRDefault="00F84D88">
      <w:pPr>
        <w:pStyle w:val="afe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f2"/>
        <w:tblW w:w="9809" w:type="dxa"/>
        <w:tblInd w:w="746" w:type="dxa"/>
        <w:tblLook w:val="04A0" w:firstRow="1" w:lastRow="0" w:firstColumn="1" w:lastColumn="0" w:noHBand="0" w:noVBand="1"/>
      </w:tblPr>
      <w:tblGrid>
        <w:gridCol w:w="3669"/>
        <w:gridCol w:w="3304"/>
        <w:gridCol w:w="2836"/>
      </w:tblGrid>
      <w:tr w:rsidR="00F84D88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СОГЛАСОВАНО:                                                                                                                 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84D88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</w:tc>
      </w:tr>
      <w:tr w:rsidR="00F84D88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Ответственное лицо подрядчика                                                                                                           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84D88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Заказчик  </w:t>
            </w:r>
          </w:p>
        </w:tc>
      </w:tr>
      <w:tr w:rsidR="00F84D88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организации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84D88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      </w:t>
            </w:r>
          </w:p>
        </w:tc>
      </w:tr>
      <w:tr w:rsidR="00F84D88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организации                                                                                                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84D88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«Шахта №12»</w:t>
            </w:r>
          </w:p>
        </w:tc>
      </w:tr>
      <w:tr w:rsidR="00F84D88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 Ф.И.О.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84D88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 Кацубин А.В.</w:t>
            </w:r>
          </w:p>
        </w:tc>
      </w:tr>
      <w:tr w:rsidR="00F84D88"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«_____» _____________г.    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84D88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«_____» _____________г.     </w:t>
            </w:r>
          </w:p>
        </w:tc>
      </w:tr>
    </w:tbl>
    <w:p w:rsidR="00F84D88" w:rsidRDefault="00F84D88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F84D88" w:rsidRDefault="00F64A8F">
      <w:pPr>
        <w:pStyle w:val="af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ТЕХНИЧЕСКОЕ ЗАДАНИЕ</w:t>
      </w:r>
    </w:p>
    <w:p w:rsidR="00F84D88" w:rsidRDefault="00F64A8F">
      <w:pPr>
        <w:pStyle w:val="af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организацию лесопосадки на территории г. Прокопьевск в районе УОГР Северный Маганак</w:t>
      </w:r>
    </w:p>
    <w:p w:rsidR="00F84D88" w:rsidRDefault="00F64A8F">
      <w:pPr>
        <w:pStyle w:val="af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ООО «Шахта №12» </w:t>
      </w:r>
    </w:p>
    <w:tbl>
      <w:tblPr>
        <w:tblStyle w:val="aff2"/>
        <w:tblW w:w="9922" w:type="dxa"/>
        <w:tblInd w:w="603" w:type="dxa"/>
        <w:tblLook w:val="04A0" w:firstRow="1" w:lastRow="0" w:firstColumn="1" w:lastColumn="0" w:noHBand="0" w:noVBand="1"/>
      </w:tblPr>
      <w:tblGrid>
        <w:gridCol w:w="667"/>
        <w:gridCol w:w="3446"/>
        <w:gridCol w:w="5809"/>
      </w:tblGrid>
      <w:tr w:rsidR="00F84D88" w:rsidRPr="00F64A8F">
        <w:trPr>
          <w:tblHeader/>
        </w:trPr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Перечень основных данных и требований</w:t>
            </w:r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Законодательное,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нормативно-правовое и нормативно-техническое обоснование</w:t>
            </w:r>
          </w:p>
        </w:tc>
      </w:tr>
      <w:tr w:rsidR="00F84D88">
        <w:trPr>
          <w:tblHeader/>
        </w:trPr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</w:p>
        </w:tc>
      </w:tr>
      <w:tr w:rsidR="00F84D88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«Шахта №12»</w:t>
            </w:r>
          </w:p>
        </w:tc>
      </w:tr>
      <w:tr w:rsidR="00F84D88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spacing w:after="0" w:line="240" w:lineRule="auto"/>
              <w:ind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озеленения Северный Маганак</w:t>
            </w:r>
          </w:p>
        </w:tc>
      </w:tr>
      <w:tr w:rsidR="00F84D88" w:rsidRPr="00F64A8F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 </w:t>
            </w:r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область, г. Прокопьевск, УОГР Северный Маганак ООО «Шахта № 12»</w:t>
            </w:r>
          </w:p>
        </w:tc>
      </w:tr>
      <w:tr w:rsidR="00F84D88" w:rsidRPr="00F64A8F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обеспечения защитной лесополосы в районе УОГР Северный Маганак ООО «Шахта №12» </w:t>
            </w:r>
          </w:p>
          <w:p w:rsidR="00F84D88" w:rsidRDefault="00F84D88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D88" w:rsidRPr="00F64A8F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pStyle w:val="afe"/>
              <w:spacing w:after="0" w:line="240" w:lineRule="auto"/>
              <w:ind w:left="0" w:right="-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(услуг)</w:t>
            </w:r>
          </w:p>
        </w:tc>
        <w:tc>
          <w:tcPr>
            <w:tcW w:w="5809" w:type="dxa"/>
            <w:shd w:val="clear" w:color="auto" w:fill="auto"/>
          </w:tcPr>
          <w:p w:rsidR="00F84D88" w:rsidRPr="00F64A8F" w:rsidRDefault="00F64A8F">
            <w:pPr>
              <w:pStyle w:val="afe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ru-RU" w:bidi="en-US"/>
              </w:rPr>
              <w:t xml:space="preserve">Проведение работ по озеленению территории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ru-RU" w:bidi="en-US"/>
              </w:rPr>
              <w:t>Прокопьевского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ru-RU" w:bidi="en-US"/>
              </w:rPr>
              <w:t xml:space="preserve"> городского округа на площади 37 Га в 2024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ru-RU" w:bidi="en-US"/>
              </w:rPr>
              <w:t xml:space="preserve"> году, путем высадки саженцев сосны обыкновенной высотой от 0,5 м до 2,0 м в количестве 400 штук на один гектар,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 том числе проведение ремонтных посадок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ru-RU" w:bidi="en-US"/>
              </w:rPr>
              <w:t xml:space="preserve"> (создание «зеленого» пояса вокруг участка Северный Маганак).</w:t>
            </w:r>
          </w:p>
        </w:tc>
      </w:tr>
      <w:tr w:rsidR="00F84D88" w:rsidRPr="00F64A8F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84D88" w:rsidRDefault="00F84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 работ (услуг)</w:t>
            </w:r>
          </w:p>
        </w:tc>
        <w:tc>
          <w:tcPr>
            <w:tcW w:w="5809" w:type="dxa"/>
            <w:shd w:val="clear" w:color="auto" w:fill="auto"/>
          </w:tcPr>
          <w:p w:rsidR="00F84D88" w:rsidRPr="00F64A8F" w:rsidRDefault="00F64A8F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Поставка и посадка саженцев сосны высотой от 1,5 до 2 м с комом земли в количестве 780 шт.</w:t>
            </w:r>
          </w:p>
          <w:p w:rsidR="00F84D88" w:rsidRPr="00F64A8F" w:rsidRDefault="00F64A8F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Поставка и посадка саженцев сосны высотой от 0,5 до 1,0 м с комом земли в количестве 14 020 шт.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 Размер кома земли саженцев высотой 0,5 до 1 м должен составл</w:t>
            </w:r>
            <w:r>
              <w:rPr>
                <w:rFonts w:ascii="Times New Roman" w:hAnsi="Times New Roman" w:cs="Times New Roman"/>
                <w:lang w:val="ru-RU"/>
              </w:rPr>
              <w:t xml:space="preserve">ять не менее 15*20 см и упакован в мешковину или евро сетку. 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Толщина ствола саженцев высотой 0,5 м до 1 м должна быть от 0,3 см до 1,0 см.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 Размер кома земли саженцев высотой от 1,5 до 2 м должен составлять не менее 40*40 см и упакован в мешковину ил</w:t>
            </w:r>
            <w:r>
              <w:rPr>
                <w:rFonts w:ascii="Times New Roman" w:hAnsi="Times New Roman" w:cs="Times New Roman"/>
                <w:lang w:val="ru-RU"/>
              </w:rPr>
              <w:t>и евро сетку.</w:t>
            </w:r>
          </w:p>
          <w:p w:rsidR="00F84D88" w:rsidRDefault="00F64A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 Толщина ствола саженцев высотой от 1,5 до 2 м должна быть от 1,8 см до 3,5 см.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 Поставщик гарантирует качество посадочного материала, отсутствие болезней и вредителей на нем путем предоставления соответствующих документов.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 Поставщик г</w:t>
            </w:r>
            <w:r>
              <w:rPr>
                <w:rFonts w:ascii="Times New Roman" w:hAnsi="Times New Roman" w:cs="Times New Roman"/>
                <w:lang w:val="ru-RU"/>
              </w:rPr>
              <w:t>арантирует наличие у него необходимого количества саженцев.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 Поставка и посадка саженцев производится силами Поставщика.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 Периодичность поставки и посадки саженцев определяется Поставщиком и рассчитывается таким образом, чтобы полный объем посадок был</w:t>
            </w:r>
            <w:r>
              <w:rPr>
                <w:rFonts w:ascii="Times New Roman" w:hAnsi="Times New Roman" w:cs="Times New Roman"/>
                <w:lang w:val="ru-RU"/>
              </w:rPr>
              <w:t xml:space="preserve"> выполнен в осенний период 2024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F84D88" w:rsidRDefault="00F64A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 Посадку производить в соответствии со схемой посадки 5*5 м, 400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/Га.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 Контроль приживаемости проводить через год после выполнения работ по посадке – для определения факта качества выполненных работ и количества са</w:t>
            </w:r>
            <w:r>
              <w:rPr>
                <w:rFonts w:ascii="Times New Roman" w:hAnsi="Times New Roman" w:cs="Times New Roman"/>
                <w:lang w:val="ru-RU"/>
              </w:rPr>
              <w:t>женцев для проведения ремонтных посадок.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 Срок гарантийных обязательств на проведенные ремонтные посадки составляет 12 месяцев.</w:t>
            </w:r>
          </w:p>
          <w:p w:rsidR="00F84D88" w:rsidRDefault="00F64A8F">
            <w:pPr>
              <w:pStyle w:val="Standar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 Общий срок гарантийных обязательств на приживаемость и рост поставленных и посаженных растений составляет 24 месяца, при </w:t>
            </w:r>
            <w:r>
              <w:rPr>
                <w:rFonts w:ascii="Times New Roman" w:hAnsi="Times New Roman" w:cs="Times New Roman"/>
                <w:lang w:val="ru-RU"/>
              </w:rPr>
              <w:t>этом в течение указанного срока допускается не более 10 % естественного выпада от всего объема поставленных и посаженных саженцев.</w:t>
            </w:r>
            <w:r>
              <w:rPr>
                <w:lang w:val="ru-RU"/>
              </w:rPr>
              <w:t xml:space="preserve"> </w:t>
            </w:r>
          </w:p>
        </w:tc>
      </w:tr>
      <w:tr w:rsidR="00F84D88">
        <w:tc>
          <w:tcPr>
            <w:tcW w:w="667" w:type="dxa"/>
            <w:shd w:val="clear" w:color="auto" w:fill="auto"/>
          </w:tcPr>
          <w:p w:rsidR="00F84D88" w:rsidRDefault="00F6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446" w:type="dxa"/>
            <w:shd w:val="clear" w:color="auto" w:fill="auto"/>
          </w:tcPr>
          <w:p w:rsidR="00F84D88" w:rsidRDefault="00F64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proofErr w:type="spellEnd"/>
          </w:p>
        </w:tc>
        <w:tc>
          <w:tcPr>
            <w:tcW w:w="5809" w:type="dxa"/>
            <w:shd w:val="clear" w:color="auto" w:fill="auto"/>
          </w:tcPr>
          <w:p w:rsidR="00F84D88" w:rsidRDefault="00F64A8F">
            <w:pPr>
              <w:pStyle w:val="Standard"/>
              <w:tabs>
                <w:tab w:val="left" w:pos="31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осень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2024г.</w:t>
            </w:r>
          </w:p>
        </w:tc>
      </w:tr>
    </w:tbl>
    <w:p w:rsidR="00F84D88" w:rsidRDefault="00F84D88">
      <w:pPr>
        <w:pStyle w:val="af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84D88" w:rsidRDefault="00F84D88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F84D88" w:rsidRDefault="00F64A8F">
      <w:pPr>
        <w:jc w:val="center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Главный инженер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Н.Н. Журбенко</w:t>
      </w:r>
    </w:p>
    <w:sectPr w:rsidR="00F84D88">
      <w:pgSz w:w="12240" w:h="15840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88"/>
    <w:rsid w:val="00F64A8F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C1B3"/>
  <w15:docId w15:val="{AA08AF0F-C7CE-406A-BFF8-2DE36F08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a">
    <w:name w:val="Текст концевой сноски Знак"/>
    <w:uiPriority w:val="99"/>
    <w:qFormat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qFormat/>
    <w:rsid w:val="00210C27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210C27"/>
    <w:rPr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210C27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bCs/>
      <w:sz w:val="24"/>
      <w:szCs w:val="24"/>
    </w:rPr>
  </w:style>
  <w:style w:type="character" w:customStyle="1" w:styleId="ListLabel8">
    <w:name w:val="ListLabel 8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">
    <w:name w:val="ListLabel 9"/>
    <w:qFormat/>
    <w:rPr>
      <w:rFonts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10">
    <w:name w:val="ListLabel 10"/>
    <w:qFormat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paragraph" w:styleId="af0">
    <w:name w:val="Title"/>
    <w:basedOn w:val="a"/>
    <w:next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No Spacing"/>
    <w:uiPriority w:val="1"/>
    <w:qFormat/>
  </w:style>
  <w:style w:type="paragraph" w:styleId="af6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7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a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b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</w:style>
  <w:style w:type="paragraph" w:styleId="afd">
    <w:name w:val="table of figures"/>
    <w:basedOn w:val="a"/>
    <w:uiPriority w:val="99"/>
    <w:unhideWhenUsed/>
    <w:qFormat/>
    <w:pPr>
      <w:spacing w:after="0"/>
    </w:p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f0">
    <w:name w:val="annotation text"/>
    <w:basedOn w:val="a"/>
    <w:uiPriority w:val="99"/>
    <w:semiHidden/>
    <w:unhideWhenUsed/>
    <w:qFormat/>
    <w:rsid w:val="00210C27"/>
    <w:pPr>
      <w:spacing w:line="240" w:lineRule="auto"/>
    </w:pPr>
    <w:rPr>
      <w:sz w:val="20"/>
      <w:szCs w:val="20"/>
    </w:rPr>
  </w:style>
  <w:style w:type="paragraph" w:styleId="aff1">
    <w:name w:val="annotation subject"/>
    <w:basedOn w:val="aff0"/>
    <w:uiPriority w:val="99"/>
    <w:semiHidden/>
    <w:unhideWhenUsed/>
    <w:qFormat/>
    <w:rsid w:val="00210C27"/>
    <w:rPr>
      <w:b/>
      <w:bCs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Денис Борисович</dc:creator>
  <dc:description/>
  <cp:lastModifiedBy>Ковалькова Кристина Николаевна</cp:lastModifiedBy>
  <cp:revision>9</cp:revision>
  <dcterms:created xsi:type="dcterms:W3CDTF">2023-06-26T03:22:00Z</dcterms:created>
  <dcterms:modified xsi:type="dcterms:W3CDTF">2024-03-25T02:41:00Z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